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5B5EC2" w:rsidRPr="00741D13">
        <w:rPr>
          <w:rFonts w:ascii="Arial" w:hAnsi="Arial" w:cs="Arial"/>
          <w:b/>
          <w:i/>
          <w:sz w:val="24"/>
          <w:szCs w:val="24"/>
        </w:rPr>
        <w:t>”</w:t>
      </w:r>
      <w:r w:rsidRPr="00741D13">
        <w:rPr>
          <w:rFonts w:ascii="Arial" w:eastAsia="Calibri" w:hAnsi="Arial" w:cs="Arial"/>
          <w:sz w:val="24"/>
          <w:szCs w:val="24"/>
        </w:rPr>
        <w:t>,    (denumirea contractului de achiziţie publică</w:t>
      </w:r>
      <w:proofErr w:type="gramStart"/>
      <w:r w:rsidRPr="00741D13">
        <w:rPr>
          <w:rFonts w:ascii="Arial" w:eastAsia="Calibri" w:hAnsi="Arial" w:cs="Arial"/>
          <w:sz w:val="24"/>
          <w:szCs w:val="24"/>
        </w:rPr>
        <w:t>)  noi</w:t>
      </w:r>
      <w:proofErr w:type="gramEnd"/>
      <w:r w:rsidRPr="00741D13">
        <w:rPr>
          <w:rFonts w:ascii="Arial" w:eastAsia="Calibri" w:hAnsi="Arial" w:cs="Arial"/>
          <w:sz w:val="24"/>
          <w:szCs w:val="24"/>
        </w:rPr>
        <w:t xml:space="preserve">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00BA020E">
        <w:rPr>
          <w:rFonts w:ascii="Arial" w:hAnsi="Arial" w:cs="Arial"/>
          <w:b/>
          <w:i/>
          <w:sz w:val="24"/>
          <w:szCs w:val="24"/>
        </w:rPr>
        <w:t xml:space="preserve"> - </w:t>
      </w:r>
      <w:r w:rsidR="003527F2">
        <w:rPr>
          <w:rFonts w:ascii="Arial" w:hAnsi="Arial" w:cs="Arial"/>
          <w:b/>
          <w:i/>
          <w:sz w:val="24"/>
          <w:szCs w:val="24"/>
        </w:rPr>
        <w:t xml:space="preserve"> </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53211E"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80459C" w:rsidRPr="0053211E"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1A332A" w:rsidRPr="001A332A">
        <w:rPr>
          <w:rFonts w:ascii="Arial" w:hAnsi="Arial" w:cs="Arial"/>
          <w:b/>
          <w:bCs/>
          <w:i/>
          <w:iCs/>
          <w:color w:val="000000"/>
          <w:sz w:val="20"/>
          <w:szCs w:val="20"/>
        </w:rPr>
        <w:t xml:space="preserv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003527F2" w:rsidRPr="00741D13">
        <w:rPr>
          <w:rFonts w:ascii="Arial" w:hAnsi="Arial" w:cs="Arial"/>
          <w:b/>
          <w:i/>
          <w:sz w:val="24"/>
          <w:szCs w:val="24"/>
        </w:rPr>
        <w:t xml:space="preserve"> </w:t>
      </w:r>
      <w:r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Pr="00741D13">
        <w:rPr>
          <w:rFonts w:ascii="Arial" w:hAnsi="Arial" w:cs="Arial"/>
          <w:sz w:val="24"/>
          <w:szCs w:val="24"/>
        </w:rPr>
        <w:t xml:space="preserve">, declar pe propria răspundere, că pe toată durata contractului, voi duce la  </w:t>
      </w:r>
      <w:r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proofErr w:type="gramStart"/>
      <w:r w:rsidRPr="00741D13">
        <w:rPr>
          <w:rFonts w:ascii="Arial" w:eastAsia="Calibri" w:hAnsi="Arial" w:cs="Arial"/>
          <w:sz w:val="24"/>
          <w:szCs w:val="24"/>
        </w:rPr>
        <w:t>1.</w:t>
      </w:r>
      <w:r w:rsidR="00F47208" w:rsidRPr="00741D13">
        <w:rPr>
          <w:rFonts w:ascii="Arial" w:eastAsia="Calibri" w:hAnsi="Arial" w:cs="Arial"/>
          <w:sz w:val="24"/>
          <w:szCs w:val="24"/>
        </w:rPr>
        <w:t>Examinând</w:t>
      </w:r>
      <w:proofErr w:type="gramEnd"/>
      <w:r w:rsidR="00F47208" w:rsidRPr="00741D13">
        <w:rPr>
          <w:rFonts w:ascii="Arial" w:eastAsia="Calibri" w:hAnsi="Arial" w:cs="Arial"/>
          <w:sz w:val="24"/>
          <w:szCs w:val="24"/>
        </w:rPr>
        <w:t xml:space="preserve">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0053211E" w:rsidRPr="00BA020E">
        <w:rPr>
          <w:rFonts w:ascii="Arial" w:hAnsi="Arial" w:cs="Arial"/>
          <w:b/>
          <w:bCs/>
          <w:color w:val="000000"/>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BA020E" w:rsidP="006341F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Pr>
                <w:rFonts w:ascii="Arial" w:hAnsi="Arial" w:cs="Arial"/>
                <w:b/>
                <w:bCs/>
                <w:color w:val="000000"/>
              </w:rPr>
              <w:t>Prestari servicii medicina nucleara – compartiment PET CT</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Default="0052691E" w:rsidP="00741D13">
      <w:pPr>
        <w:pStyle w:val="BodyText"/>
        <w:spacing w:line="240" w:lineRule="auto"/>
        <w:jc w:val="both"/>
        <w:rPr>
          <w:rFonts w:ascii="Arial" w:hAnsi="Arial" w:cs="Arial"/>
          <w:color w:val="000000" w:themeColor="text1"/>
          <w:sz w:val="24"/>
          <w:szCs w:val="24"/>
          <w:lang w:val="ro-RO"/>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BA020E">
        <w:rPr>
          <w:rFonts w:ascii="Arial" w:hAnsi="Arial" w:cs="Arial"/>
          <w:b/>
          <w:bCs/>
          <w:color w:val="000000"/>
        </w:rPr>
        <w:t>Prestari servicii medicina nucleara – compartiment PET CT</w:t>
      </w:r>
      <w:r w:rsidR="00BA020E" w:rsidRPr="00BA020E">
        <w:rPr>
          <w:rFonts w:ascii="Arial" w:hAnsi="Arial" w:cs="Arial"/>
          <w:b/>
          <w:i/>
          <w:sz w:val="24"/>
          <w:szCs w:val="24"/>
        </w:rPr>
        <w:t>”</w:t>
      </w:r>
      <w:r w:rsidRPr="00BA020E">
        <w:rPr>
          <w:rFonts w:ascii="Arial" w:hAnsi="Arial" w:cs="Arial"/>
          <w:b/>
          <w:bCs/>
          <w:i/>
          <w:iCs/>
          <w:color w:val="000000"/>
          <w:sz w:val="24"/>
          <w:szCs w:val="24"/>
          <w:lang w:val="pt-BR"/>
        </w:rPr>
        <w:t>,</w:t>
      </w:r>
    </w:p>
    <w:p w:rsidR="006341F3" w:rsidRPr="00741D13" w:rsidRDefault="006341F3" w:rsidP="00741D13">
      <w:pPr>
        <w:pStyle w:val="BodyText"/>
        <w:spacing w:line="240" w:lineRule="auto"/>
        <w:jc w:val="both"/>
        <w:rPr>
          <w:rFonts w:ascii="Arial" w:hAnsi="Arial" w:cs="Arial"/>
          <w:b/>
          <w:bCs/>
          <w:i/>
          <w:iCs/>
          <w:color w:val="000000"/>
          <w:sz w:val="24"/>
          <w:szCs w:val="24"/>
          <w:lang w:val="pt-BR"/>
        </w:rPr>
      </w:pP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lastRenderedPageBreak/>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lastRenderedPageBreak/>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r w:rsidR="0026054E">
        <w:rPr>
          <w:rFonts w:ascii="Arial" w:hAnsi="Arial" w:cs="Arial"/>
          <w:b/>
          <w:sz w:val="24"/>
          <w:szCs w:val="24"/>
        </w:rPr>
        <w:t>a</w:t>
      </w:r>
      <w:r w:rsidR="0053211E">
        <w:rPr>
          <w:rFonts w:ascii="Arial" w:hAnsi="Arial" w:cs="Arial"/>
          <w:b/>
          <w:sz w:val="24"/>
          <w:szCs w:val="24"/>
        </w:rPr>
        <w:t>, maxim 60 ore/luna sala.</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lastRenderedPageBreak/>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7C0" w:rsidRDefault="00D627C0" w:rsidP="008721F8">
      <w:pPr>
        <w:spacing w:after="0" w:line="240" w:lineRule="auto"/>
      </w:pPr>
      <w:r>
        <w:separator/>
      </w:r>
    </w:p>
  </w:endnote>
  <w:endnote w:type="continuationSeparator" w:id="0">
    <w:p w:rsidR="00D627C0" w:rsidRDefault="00D627C0"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7C0" w:rsidRDefault="00D627C0" w:rsidP="008721F8">
      <w:pPr>
        <w:spacing w:after="0" w:line="240" w:lineRule="auto"/>
      </w:pPr>
      <w:r>
        <w:separator/>
      </w:r>
    </w:p>
  </w:footnote>
  <w:footnote w:type="continuationSeparator" w:id="0">
    <w:p w:rsidR="00D627C0" w:rsidRDefault="00D627C0"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A54EA"/>
    <w:rsid w:val="002D312E"/>
    <w:rsid w:val="002E36F1"/>
    <w:rsid w:val="003527F2"/>
    <w:rsid w:val="00373874"/>
    <w:rsid w:val="00382FC4"/>
    <w:rsid w:val="00390B73"/>
    <w:rsid w:val="003F6F83"/>
    <w:rsid w:val="00402CA1"/>
    <w:rsid w:val="00404F82"/>
    <w:rsid w:val="00453D84"/>
    <w:rsid w:val="00463951"/>
    <w:rsid w:val="0047683B"/>
    <w:rsid w:val="00481493"/>
    <w:rsid w:val="004A169E"/>
    <w:rsid w:val="004B36C8"/>
    <w:rsid w:val="004B36F7"/>
    <w:rsid w:val="004B6C34"/>
    <w:rsid w:val="004B6F09"/>
    <w:rsid w:val="004C090F"/>
    <w:rsid w:val="004C15B0"/>
    <w:rsid w:val="00523DF4"/>
    <w:rsid w:val="0052691E"/>
    <w:rsid w:val="0053211E"/>
    <w:rsid w:val="00532C55"/>
    <w:rsid w:val="00554DD9"/>
    <w:rsid w:val="005645AA"/>
    <w:rsid w:val="00571D4B"/>
    <w:rsid w:val="00573152"/>
    <w:rsid w:val="005736E4"/>
    <w:rsid w:val="00573971"/>
    <w:rsid w:val="00575C15"/>
    <w:rsid w:val="005A312A"/>
    <w:rsid w:val="005A356B"/>
    <w:rsid w:val="005B5EC2"/>
    <w:rsid w:val="005D7FD0"/>
    <w:rsid w:val="006341F3"/>
    <w:rsid w:val="006A0ADD"/>
    <w:rsid w:val="006A1E5C"/>
    <w:rsid w:val="006B4501"/>
    <w:rsid w:val="006D5E3C"/>
    <w:rsid w:val="006F371A"/>
    <w:rsid w:val="0070287F"/>
    <w:rsid w:val="00705AAA"/>
    <w:rsid w:val="007155C7"/>
    <w:rsid w:val="00731E1B"/>
    <w:rsid w:val="00741D13"/>
    <w:rsid w:val="007702E1"/>
    <w:rsid w:val="00780187"/>
    <w:rsid w:val="007955DB"/>
    <w:rsid w:val="007B0B52"/>
    <w:rsid w:val="007C5679"/>
    <w:rsid w:val="0080459C"/>
    <w:rsid w:val="00836390"/>
    <w:rsid w:val="008721F8"/>
    <w:rsid w:val="008B06F6"/>
    <w:rsid w:val="008C2289"/>
    <w:rsid w:val="008D23CF"/>
    <w:rsid w:val="008F3963"/>
    <w:rsid w:val="00917906"/>
    <w:rsid w:val="00937D60"/>
    <w:rsid w:val="00937E1F"/>
    <w:rsid w:val="00963391"/>
    <w:rsid w:val="00973A03"/>
    <w:rsid w:val="009B10FE"/>
    <w:rsid w:val="009C60AE"/>
    <w:rsid w:val="009C703E"/>
    <w:rsid w:val="009D0100"/>
    <w:rsid w:val="00A10EE5"/>
    <w:rsid w:val="00AA2B05"/>
    <w:rsid w:val="00AD2672"/>
    <w:rsid w:val="00AF0C15"/>
    <w:rsid w:val="00B04631"/>
    <w:rsid w:val="00B1537F"/>
    <w:rsid w:val="00B225AC"/>
    <w:rsid w:val="00B36EEE"/>
    <w:rsid w:val="00B3701F"/>
    <w:rsid w:val="00B45E4C"/>
    <w:rsid w:val="00B711F4"/>
    <w:rsid w:val="00B763C5"/>
    <w:rsid w:val="00BA020E"/>
    <w:rsid w:val="00BA17A4"/>
    <w:rsid w:val="00BF3F6C"/>
    <w:rsid w:val="00C44F34"/>
    <w:rsid w:val="00C5161F"/>
    <w:rsid w:val="00C920A7"/>
    <w:rsid w:val="00CC2A37"/>
    <w:rsid w:val="00CC78B8"/>
    <w:rsid w:val="00CD4409"/>
    <w:rsid w:val="00CF1EE6"/>
    <w:rsid w:val="00CF26F0"/>
    <w:rsid w:val="00CF6F20"/>
    <w:rsid w:val="00D00BF8"/>
    <w:rsid w:val="00D01DB0"/>
    <w:rsid w:val="00D317BF"/>
    <w:rsid w:val="00D627C0"/>
    <w:rsid w:val="00D63D04"/>
    <w:rsid w:val="00DA417E"/>
    <w:rsid w:val="00DD6EDE"/>
    <w:rsid w:val="00DE51DB"/>
    <w:rsid w:val="00DF1CBD"/>
    <w:rsid w:val="00E06298"/>
    <w:rsid w:val="00E315E6"/>
    <w:rsid w:val="00E36C85"/>
    <w:rsid w:val="00E547E7"/>
    <w:rsid w:val="00E62AE5"/>
    <w:rsid w:val="00E90723"/>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14D12-54C1-4240-B358-2677392A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2024-02-12T13:08:00Z</cp:lastPrinted>
  <dcterms:created xsi:type="dcterms:W3CDTF">2026-03-31T10:40:00Z</dcterms:created>
  <dcterms:modified xsi:type="dcterms:W3CDTF">2026-05-22T05:48:00Z</dcterms:modified>
</cp:coreProperties>
</file>